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10"/>
          <w:tab w:val="center" w:pos="4572"/>
        </w:tabs>
        <w:spacing w:line="640" w:lineRule="exact"/>
        <w:jc w:val="left"/>
        <w:rPr>
          <w:rFonts w:hint="eastAsia" w:ascii="方正小标宋_GBK" w:hAnsi="方正小标宋_GBK" w:eastAsia="方正小标宋简体" w:cs="方正小标宋_GBK"/>
          <w:b/>
          <w:bCs/>
          <w:color w:val="000000"/>
          <w:sz w:val="44"/>
          <w:szCs w:val="44"/>
          <w:lang w:eastAsia="zh-CN"/>
        </w:rPr>
      </w:pPr>
      <w:r>
        <w:rPr>
          <w:rFonts w:hint="eastAsia" w:ascii="方正小标宋_GBK" w:hAnsi="方正小标宋_GBK" w:eastAsia="方正小标宋简体" w:cs="方正小标宋_GBK"/>
          <w:b/>
          <w:bCs/>
          <w:color w:val="000000"/>
          <w:sz w:val="44"/>
          <w:szCs w:val="44"/>
        </w:rPr>
        <w:t>铜</w:t>
      </w:r>
      <w:r>
        <w:rPr>
          <w:rFonts w:hint="eastAsia" w:ascii="方正小标宋简体" w:hAnsi="方正小标宋简体" w:eastAsia="方正小标宋简体" w:cs="方正小标宋简体"/>
          <w:b/>
          <w:bCs/>
          <w:color w:val="000000"/>
          <w:sz w:val="44"/>
          <w:szCs w:val="44"/>
        </w:rPr>
        <w:t>仁职业技术学院2020年工作</w:t>
      </w:r>
      <w:r>
        <w:rPr>
          <w:rFonts w:hint="eastAsia" w:ascii="方正小标宋_GBK" w:hAnsi="方正小标宋_GBK" w:eastAsia="方正小标宋简体" w:cs="方正小标宋_GBK"/>
          <w:b/>
          <w:bCs/>
          <w:color w:val="000000"/>
          <w:sz w:val="44"/>
          <w:szCs w:val="44"/>
        </w:rPr>
        <w:t>要点</w:t>
      </w:r>
      <w:r>
        <w:rPr>
          <w:rFonts w:hint="eastAsia" w:ascii="方正小标宋_GBK" w:hAnsi="方正小标宋_GBK" w:eastAsia="方正小标宋简体" w:cs="方正小标宋_GBK"/>
          <w:b/>
          <w:bCs/>
          <w:color w:val="000000"/>
          <w:sz w:val="44"/>
          <w:szCs w:val="44"/>
          <w:lang w:eastAsia="zh-CN"/>
        </w:rPr>
        <w:tab/>
      </w:r>
    </w:p>
    <w:p>
      <w:pPr>
        <w:spacing w:line="640" w:lineRule="exact"/>
        <w:jc w:val="center"/>
        <w:rPr>
          <w:rFonts w:hint="eastAsia" w:ascii="方正小标宋_GBK" w:hAnsi="方正小标宋_GBK" w:eastAsia="方正小标宋_GBK" w:cs="方正小标宋_GBK"/>
          <w:color w:val="000000"/>
          <w:sz w:val="44"/>
          <w:szCs w:val="44"/>
        </w:rPr>
      </w:pPr>
    </w:p>
    <w:p>
      <w:pPr>
        <w:pStyle w:val="4"/>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color w:val="000000"/>
        </w:rPr>
      </w:pPr>
      <w:r>
        <w:rPr>
          <w:rFonts w:hint="eastAsia"/>
          <w:color w:val="000000"/>
        </w:rPr>
        <w:t>一、总体要求</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color w:val="000000"/>
        </w:rPr>
      </w:pPr>
      <w:r>
        <w:rPr>
          <w:rFonts w:hint="eastAsia"/>
          <w:color w:val="000000"/>
        </w:rPr>
        <w:t>坚持以习近平新时代中国特色社会主义思想为指导，深入贯彻党的十九大和十九届三中、四中全会精神，以及省委十二届五次、六次全会精神，深入学习贯彻习近平总书记关于教育的重要论述和全国、全省教育大会精神，坚持高等教育“四为服务”的发展方向，开拓创新，立德树人，全面落实学院“十三五”发展规划，谋划“十四五”，推进“省部共建”，加强内涵建设，努力创建“世界水准、中国特色、铜仁标志”中国特色高水平高职院校。</w:t>
      </w:r>
    </w:p>
    <w:p>
      <w:pPr>
        <w:pStyle w:val="4"/>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color w:val="000000"/>
        </w:rPr>
      </w:pPr>
      <w:r>
        <w:rPr>
          <w:rFonts w:hint="eastAsia"/>
          <w:color w:val="000000"/>
        </w:rPr>
        <w:t>二、做好基础工作，稳步推进“双高计划”建设</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（一）党的建设</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1.加强政治理论学习，巩固“不忘初心 牢记使命”主题教育成果。坚持政治理论学习制度，进一步规范党委理论学习中心组学习，深入学习宣传贯彻落实党的十九大精神、习近平新时代中国特色社会主义思想、</w:t>
      </w:r>
      <w:r>
        <w:rPr>
          <w:rFonts w:hint="eastAsia" w:ascii="仿宋_GB2312" w:hAnsi="仿宋_GB2312" w:cs="仿宋_GB2312"/>
          <w:color w:val="000000"/>
          <w:szCs w:val="32"/>
          <w:lang w:val="en-US" w:eastAsia="zh-CN"/>
        </w:rPr>
        <w:t>习近平生态文明思想</w:t>
      </w:r>
      <w:r>
        <w:rPr>
          <w:rFonts w:hint="eastAsia" w:ascii="仿宋_GB2312" w:hAnsi="仿宋_GB2312" w:cs="仿宋_GB2312"/>
          <w:color w:val="000000"/>
          <w:szCs w:val="32"/>
        </w:rPr>
        <w:t>、高校党建会、教育大会、《国家职业教育改革实施方案》以及《贵州省职业教育兴黔富民行动计划建设项目实施方案》等精神，做到有计划、有内容、有效果。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2.加强党风廉政建设。履行党委主体责任，加强纪律和作风建设，开展“四风”问题督查；细化主体责任清单，开展责任制考核；强化对权力运行的制约和监督，组织开展廉政约谈；加大宣传教育力度，组织开展警示教育；定期对政治生态进行研判，开展好内部巡察工作。落实纪委监督责任，紧盯重点、节点，狠刹作风顽疾，深化监督执纪“四种形态”，持之以恒正风肃纪；以廉政文化进校园为载体，进一步夯实廉政教育基地建设，突出特色，着力建设富有高职院校特色的廉政文化。</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3.做好党建、干部及人才工作。把政治建设摆在首位，加强和改善党对教育工作的领导，推动全面从严治党向纵深发展；配合省委组织部、市委组织部做好党委换届工作；</w:t>
      </w:r>
      <w:r>
        <w:rPr>
          <w:rFonts w:hint="eastAsia"/>
          <w:color w:val="000000"/>
        </w:rPr>
        <w:t>全面实施</w:t>
      </w:r>
      <w:r>
        <w:rPr>
          <w:rFonts w:hint="eastAsia" w:ascii="仿宋_GB2312" w:hAnsi="仿宋_GB2312" w:cs="仿宋_GB2312"/>
          <w:color w:val="000000"/>
          <w:szCs w:val="32"/>
        </w:rPr>
        <w:t>“一体两翼”党建新模式，</w:t>
      </w:r>
      <w:r>
        <w:rPr>
          <w:rFonts w:hint="eastAsia"/>
          <w:color w:val="000000"/>
        </w:rPr>
        <w:t>扎实做好</w:t>
      </w:r>
      <w:r>
        <w:rPr>
          <w:rFonts w:hint="eastAsia" w:ascii="仿宋_GB2312" w:hAnsi="仿宋_GB2312" w:cs="仿宋_GB2312"/>
          <w:color w:val="000000"/>
          <w:szCs w:val="32"/>
        </w:rPr>
        <w:t>“全国样板党支部”建设工作，组织开展“一总一特”党建品牌建设验收工作，打造3个以上院级党建品牌；加大干部教育培养，多层次、创新开展干部培训，着力提升干部队伍素质；加强紧缺型高层次人才的引进和培养工作，表彰一批院级优秀教师和教育工作者。</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color w:val="000000"/>
        </w:rPr>
      </w:pPr>
      <w:r>
        <w:rPr>
          <w:rFonts w:hint="eastAsia" w:ascii="仿宋_GB2312" w:hAnsi="仿宋_GB2312" w:cs="仿宋_GB2312"/>
          <w:color w:val="000000"/>
          <w:szCs w:val="32"/>
        </w:rPr>
        <w:t>4.加强大学生思想政治教育。进一步学习贯彻落实全国、全省、全市高校思想政治工作会议，召开思想政治工作会议，对学院思政工作再动员、再安排、再部署；加强思想政治课程改革和中青年骨干教师培训，提升思政教师教学能力；实施课程思政改革，充分</w:t>
      </w:r>
      <w:r>
        <w:rPr>
          <w:rFonts w:hint="eastAsia"/>
          <w:color w:val="000000"/>
        </w:rPr>
        <w:t>挖掘各类课程蕴含的思政元素，促进专业课与思政理论</w:t>
      </w:r>
      <w:r>
        <w:rPr>
          <w:rFonts w:hint="eastAsia" w:ascii="仿宋_GB2312" w:hAnsi="仿宋_GB2312" w:cs="仿宋_GB2312"/>
          <w:color w:val="000000"/>
          <w:szCs w:val="32"/>
        </w:rPr>
        <w:t>课同向同行；以开展“新时代讲习所”“道德讲堂”“教授讲坛”“文化大讲堂”等“公开课”为抓手，广泛开展分众化、对象化、互动化宣讲；全面做好迎接思政工作方面的相关检查的准备工作。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5.做好意识形态及宣传工作。全面落实巡视巡察反馈意见整改，落实意识形态工作责任制，确保“四个责任”压紧压实、“四项机制”运行有效、“六大阵地”安全稳定，严防“十种情形”发生；每季度至少召开1次联席会议，全年开展2次以上专项督查，加强意识形态领域情况综合分析研判；组织全院宗教政策法规的学习培训，定期开展党员干部、学生、外来人员信教情况及校园传教等活动的排查，做好抵御和防范校园传教渗透工作；</w:t>
      </w:r>
      <w:r>
        <w:rPr>
          <w:rFonts w:hint="eastAsia"/>
          <w:color w:val="000000"/>
        </w:rPr>
        <w:t>围绕“双高计划”建设等重点工作，加大对外宣传力度，在市级以上主流媒体宣传120篇以上</w:t>
      </w:r>
      <w:r>
        <w:rPr>
          <w:rFonts w:hint="eastAsia" w:ascii="仿宋_GB2312" w:hAnsi="仿宋_GB2312" w:cs="仿宋_GB2312"/>
          <w:color w:val="000000"/>
          <w:szCs w:val="32"/>
        </w:rPr>
        <w:t>；充分利用校园网、微信、橱窗、电子屏幕等载体，及时准确做好政策法规、重大会议精神、决策部署、节庆活动、教育教学管理动态的宣传报道，坚持讲好中国故事、传播好中国声音。</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做好团委、统战及工会工作。突出团支部活力建设，开展业余团校培训，做好网络志愿者管理认证工作，打造具有高职特色的“三下乡”活动品牌；进一步完善知联会各项制度，构建统战工作制度体系，编印统战工作简报</w:t>
      </w:r>
      <w:r>
        <w:rPr>
          <w:rFonts w:hint="eastAsia"/>
          <w:color w:val="000000"/>
        </w:rPr>
        <w:t>；</w:t>
      </w:r>
      <w:r>
        <w:rPr>
          <w:rFonts w:hint="eastAsia" w:ascii="仿宋_GB2312" w:hAnsi="仿宋_GB2312" w:cs="仿宋_GB2312"/>
          <w:color w:val="000000"/>
          <w:szCs w:val="32"/>
        </w:rPr>
        <w:t>开好两代会，做好职代会的筹备和提案回复工作，开展</w:t>
      </w:r>
      <w:r>
        <w:rPr>
          <w:rFonts w:hint="eastAsia" w:ascii="仿宋" w:hAnsi="仿宋" w:eastAsia="仿宋" w:cs="仿宋"/>
          <w:color w:val="000000"/>
          <w:szCs w:val="32"/>
        </w:rPr>
        <w:t>工间操活动</w:t>
      </w:r>
      <w:r>
        <w:rPr>
          <w:rFonts w:hint="eastAsia" w:ascii="仿宋_GB2312" w:hAnsi="仿宋_GB2312" w:cs="仿宋_GB2312"/>
          <w:color w:val="000000"/>
          <w:szCs w:val="32"/>
        </w:rPr>
        <w:t>。</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7.打好职教脱贫攻坚战。</w:t>
      </w:r>
      <w:r>
        <w:rPr>
          <w:rFonts w:hint="eastAsia"/>
          <w:color w:val="000000"/>
        </w:rPr>
        <w:t>持续落实“四扶四建”职教扶贫模式，扎实推进文军扶贫和“校农结合”，全力实施职业教育精准培养、服务农村产业革命、宣传文化医疗下乡三大行动，做好驻村帮扶和扶贫督导工作，开展技术咨询与指导工作，坚持</w:t>
      </w:r>
      <w:r>
        <w:rPr>
          <w:rFonts w:hint="eastAsia" w:ascii="仿宋_GB2312" w:hAnsi="仿宋_GB2312" w:cs="仿宋_GB2312"/>
          <w:color w:val="000000"/>
          <w:szCs w:val="32"/>
        </w:rPr>
        <w:t>将助推脱贫攻坚作为学院服务社会的主战场，发挥职业教育阻断贫困代际传递作用。</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（二）教学工作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8.疫情期间着力抓好线上教学质量。根据教育部和省、市文件精神，围绕“停课不停教、停课不停学”的总体要求，制定《疫情防控期间线上教学实施方案》。一是将疫情防控科普知识等“三类”课程纳入线上学习范围，明确授课计划修订、线上教学调整审批等“三个”工作阶段，保障线上教学的有序性与科学性。二是充分发挥学院网络教学平台与教育部推荐的平台资源的优势，建立校内教师自建spoc与公共平台优质慕课两轮并驱推进学生线上学习，提升线上教学资源的精品性、丰富性和直播课程、讨论课等实时教学的畅通性。三是建立专项督导体系与考核机制，开展督导与考核工作，全面保障线上教学质量。并结合学院信息化教学管理平台，开展2次全院性教学规范检查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9.加强专业与产业链的契合度。结合区域产业链的发展需要，调整专业结构、优化课程设置、开发共享资源等，做好2021年学院拟招生专业申报及专业优化调整工作，提升专业与产业链的契合度。围绕贵州省27个重点产业，继续开展好牵头食用菌等4个产业链和参与蔬菜等9个产业链对应的专业建设与人才培养工作。同时，进一步深化特色学徒制育人模式改革，持续推行1+X证书试点工作，争取获批1+X证书制度试点2个。</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10.加强品牌课程建设。按照“分类建设、分层推进”的思路，持续实施院级精品在线开放课及优质课程评选认定工作，院级精品开放课程评选立项40门，院级优质课程评选立项认定16门，着力强化学生创新精神和实践能力培养，提高课堂教学质量。推荐优秀课程参加省级课程评选，提升品牌课程的比例。</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11.加强教育教学改革力度。在四类生源学生中试点推行学分制管理模式，建立“学分银行”，实现学分认定兑换。进一步推进教材、教法改革，着力开发10部新型活页式、工作手册式教材及立体化教材；以全面推行信息化课堂教学为载体，引导教师积极参与课堂教学教法改革，提升教师微课、动画、视频等课程配套数字化资源的建设力度，试点推行线上+线下混合式教学改革课程10门。</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12.做好教学督导工作。继续推进教学诊改，加强教学督导队伍建设，全面运用开展网路评教，强化教育质量监督督导，全年开展2次网络评教。</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（三）学生工作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13.创新文化育人手段。打造“五元文化”和“四项主题”教育的升级版，丰富“五元文化”和“四项主题”教育的内涵，进一步加强心理健康教育，促进学生全面发展。</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14.加强学工队伍建设。精心打造学管、学工和学生干部“三支”队伍，开展辅导员（班主任）和学生干部培训，举办辅导员职业能力大赛。</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15.做好学生资助工作。开展资助政策宣传和诚信励志教育，完成各类奖助学金的评选及发放。</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16.提高学生事务中心服务水平。进一步规范管理制度，完善办事流程，打造师生满意的服务平台。</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17.加强易班建设。完善易班的各项规章制度，建好易班总站与分站，打造集教育教学、生活服务、文化娱乐于一体的师生互动平台。</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18.做好征兵工作。做好征兵宣传与动员，完成2020年征兵</w:t>
      </w:r>
      <w:r>
        <w:rPr>
          <w:rFonts w:hint="eastAsia" w:ascii="仿宋" w:hAnsi="仿宋" w:eastAsia="仿宋" w:cs="仿宋"/>
          <w:color w:val="000000"/>
          <w:szCs w:val="32"/>
        </w:rPr>
        <w:t>58</w:t>
      </w:r>
      <w:r>
        <w:rPr>
          <w:rFonts w:ascii="仿宋" w:hAnsi="仿宋" w:eastAsia="仿宋" w:cs="仿宋"/>
          <w:color w:val="000000"/>
          <w:szCs w:val="32"/>
        </w:rPr>
        <w:t>人的征兵</w:t>
      </w:r>
      <w:r>
        <w:rPr>
          <w:rFonts w:hint="eastAsia" w:ascii="仿宋_GB2312" w:hAnsi="仿宋_GB2312" w:cs="仿宋_GB2312"/>
          <w:color w:val="000000"/>
          <w:szCs w:val="32"/>
        </w:rPr>
        <w:t>任务。</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（四）办公及外事工作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19.做好参谋助手，加强沟通协调。围绕学院中心工作，切实发挥参谋助手作用，牵头做好“省部共建”。</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20.定期开展督查。制定2020年督查计划，科学制定措施，抓好督促落实。</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21.改进办公方式。</w:t>
      </w:r>
      <w:r>
        <w:rPr>
          <w:rFonts w:hint="eastAsia"/>
          <w:color w:val="000000"/>
        </w:rPr>
        <w:t>进一步规范学院公文及公章管理，增强严肃性和权威性；加强和改进会风，做好各类大型会务活动；完善差旅费二级管理办法等制度</w:t>
      </w:r>
      <w:r>
        <w:rPr>
          <w:rFonts w:hint="eastAsia" w:ascii="仿宋_GB2312" w:hAnsi="仿宋_GB2312" w:cs="仿宋_GB2312"/>
          <w:color w:val="000000"/>
          <w:szCs w:val="32"/>
        </w:rPr>
        <w:t>，严格执行中央“八项规定”，严控“三公”经费。</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color w:val="000000"/>
        </w:rPr>
      </w:pPr>
      <w:r>
        <w:rPr>
          <w:rFonts w:hint="eastAsia"/>
          <w:color w:val="000000"/>
        </w:rPr>
        <w:t>22</w:t>
      </w:r>
      <w:r>
        <w:rPr>
          <w:color w:val="000000"/>
        </w:rPr>
        <w:t>.</w:t>
      </w:r>
      <w:r>
        <w:rPr>
          <w:rFonts w:hint="eastAsia"/>
          <w:color w:val="000000"/>
        </w:rPr>
        <w:t>做好学院“十四五”发展规划起草工作。提前谋划，高质量做好“十四五”发展规划起草工作；督促和指导各单位落实“十三五”规划。</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color w:val="000000"/>
        </w:rPr>
      </w:pPr>
      <w:r>
        <w:rPr>
          <w:rFonts w:hint="eastAsia"/>
          <w:color w:val="000000"/>
        </w:rPr>
        <w:t>23.做好外事工作。持续推进千人海外留学计划，积极申报因公出访团组，认真落实老挝分校、泰国文化交流中心、澳大利亚合作办学项目，加快外籍教师聘任工作，努力提升学院国际化办学水平。</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（五）招生就业工作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24.做好招生工作。2020级高职新生到校4800人以上。</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25.做好就业创业工作。加强就业创业培训指导力度，2020届高职毕业生初次就业率90%以上。</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（六）财务工作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26.做好2019年度学院决算及2020年度预算编制工作，在学院网站信息公开栏中公开。</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27.积极筹措资金。积极向上争取资金，确保学院重点项目工作的顺利实施。</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28.做好经费管理及使用工作。坚持“收支两条线”原则，依法、依规定组织各项收入和安排各项支出。</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29.全面启用财务内控信息化系统。</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30.监督指导附属医院财务工作。</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（七）科学研究工作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31.做好院级科研平台和科研团队的建设及检查工作。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32.开展科研信息管理平台建设。组织好各级各类科研项目的申报，加强科研经费管理；开展科研成果登记管理工作，促进科研成果转化。</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33.做好《学术论坛》的组稿、编辑、出版、发行工作。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34.完成《铜仁职业技术学院高等职业教育质量年度报告（2021）》编写工作。</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（八）留学生教育工作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35.继续加强与国内外招生机构联系和合作，全年完成国际学生招生50人。</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36.做好HSK考试工作，确保考试规模在150人次以上。</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（九）实验实训工作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37.加强实训基地建设。推进院级虚拟仿真实训中心建设，申报创建省级高水平专业化产教融合实训基地1个。</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38.加强实训基地（室）安全管理。开展实验室安全专题培训，做好危化品和精麻药品的采购、入库、出库、使用登记监督管理工作。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39.组织开展全院各专业技能大赛。</w:t>
      </w:r>
      <w:r>
        <w:rPr>
          <w:rFonts w:hint="eastAsia"/>
          <w:color w:val="000000"/>
        </w:rPr>
        <w:t>积极</w:t>
      </w:r>
      <w:r>
        <w:rPr>
          <w:rFonts w:hint="eastAsia" w:ascii="仿宋_GB2312" w:hAnsi="仿宋_GB2312" w:cs="仿宋_GB2312"/>
          <w:color w:val="000000"/>
          <w:szCs w:val="32"/>
        </w:rPr>
        <w:t>承办好各级技能大赛，做好技能竞赛的管理。</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（十）对外合作工作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40.深入推进产教融合，提升校企合作水平。</w:t>
      </w:r>
      <w:r>
        <w:rPr>
          <w:rFonts w:hint="eastAsia" w:ascii="仿宋" w:hAnsi="仿宋" w:eastAsia="仿宋" w:cs="仿宋"/>
          <w:color w:val="000000"/>
          <w:kern w:val="0"/>
          <w:szCs w:val="32"/>
        </w:rPr>
        <w:t>与大型有实力的企</w:t>
      </w:r>
      <w:r>
        <w:rPr>
          <w:rFonts w:hint="eastAsia" w:ascii="仿宋_GB2312" w:hAnsi="仿宋_GB2312" w:cs="仿宋_GB2312"/>
          <w:color w:val="000000"/>
          <w:szCs w:val="32"/>
        </w:rPr>
        <w:t>业合作，探索建设产业学院；在订单班的形式和数量上有所突破；争取行业企业的技术、设备、资金和项目支持，探索更多资源共享、合作共赢的发展道路。</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41.拓宽合作领域，服务地方经济发展。在进一步拓宽合作领域的同时，将对外合作工作与服务乡村振兴结合起来，扩大铜仁职院影响力。</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Cs w:val="32"/>
        </w:rPr>
      </w:pPr>
      <w:r>
        <w:rPr>
          <w:rFonts w:hint="eastAsia" w:ascii="仿宋_GB2312" w:hAnsi="仿宋_GB2312" w:cs="仿宋_GB2312"/>
          <w:color w:val="000000"/>
          <w:szCs w:val="32"/>
        </w:rPr>
        <w:t>42.加强与“省部共建”高校对接，服务“双高”建设。加强与</w:t>
      </w:r>
      <w:r>
        <w:rPr>
          <w:rFonts w:hint="eastAsia" w:ascii="仿宋" w:hAnsi="仿宋" w:eastAsia="仿宋" w:cs="仿宋"/>
          <w:szCs w:val="32"/>
        </w:rPr>
        <w:t>大连民族大学、西南民族大学等国家民委直属高校的对接，根据“双高”建设需要，在师资队伍建设、专业建设等方面开展合作。</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（十一）安全稳定工作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43.强化校园三防体系建设。完成新建校园南端汽修实训室片区保卫值班点人员配备；加强校园内道路及消防设施设备的维护和更新工作；完成新建校园南端汽修实训室、铜仁市工业学校教学综合楼、北片区视频监控系统的招标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44.做好安全稳定队伍建设工作。完成民兵队员和安全信息员的招募、培训、执勤工作。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45.做好安全宣传工作。在重要时间节点发布安全提示，充分利用校园宣传栏发布安全信息，组织安全、法制讲座2次；在新生入学、“5.12防灾减灾日”、“11.9消防宣传日”等重要时间节点组织开展应急疏散演练活动。</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（十二）后勤工作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46.做好水电管理和修缮服务工作。不定期检查供水供电设施，及时为师生提供高效优质的修缮服务。</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47.做好饮食服务与管理工作。加强校园食品安全督查工作，定期对食堂、超市进行检查，确保食品安全。</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48.做好生态环境保护工作</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坚决打好污染防治攻坚战</w:t>
      </w:r>
      <w:r>
        <w:rPr>
          <w:rFonts w:hint="eastAsia" w:ascii="仿宋_GB2312" w:hAnsi="仿宋_GB2312" w:cs="仿宋_GB2312"/>
          <w:color w:val="000000"/>
          <w:szCs w:val="32"/>
        </w:rPr>
        <w:t>。完成绿化实施工程和2020年校园绿化常规养护招标工作。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49.做好资产管理工作。完成固定资产清查复核工作，实现资产管理规范化。</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（十三）图书馆工作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szCs w:val="32"/>
        </w:rPr>
      </w:pPr>
      <w:r>
        <w:rPr>
          <w:rFonts w:hint="eastAsia" w:ascii="仿宋_GB2312" w:hAnsi="仿宋_GB2312" w:cs="仿宋_GB2312"/>
          <w:szCs w:val="32"/>
        </w:rPr>
        <w:t>50.做好文献资源采购及建设工作。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szCs w:val="32"/>
        </w:rPr>
        <w:t>51.</w:t>
      </w:r>
      <w:r>
        <w:rPr>
          <w:rFonts w:hint="eastAsia" w:ascii="仿宋_GB2312" w:hAnsi="仿宋_GB2312" w:cs="仿宋_GB2312"/>
          <w:color w:val="000000"/>
          <w:szCs w:val="32"/>
        </w:rPr>
        <w:t>以“4.23”世界读书日为契机，深入开展校园文化读书活动。</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（十四）附属医院工作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52.改善医院医疗环境。完成医院大楼立面改造、电梯安装。</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53.做好遵医口腔医院铜仁分院工作。制定运行方案、明确遵医来铜专家待遇、加强人员配置，推进遵医口腔铜仁分院建设。</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（十五）继续教育工作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54.做好2020年成教招生宣传及2020级新生注册报到工作，组织各二级学院完成在校高职学生参加专本衔接考试、办证工作。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55.加强与政府、行业、企业合作，积极争取培训项目，全年完成培训鉴定5000人（次）以上。</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56.协助市政府做好NIIT学员培训和管理工作。</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（十六）东关校区管委会工作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57.强化教学管理。加强教学过程管理，全面落实“三期”教学检查，持续推进教风考风建设。</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58.以活动为载体，做好学生工作。组织重大节日联欢活动、田径运动会、学生篮球赛、“校园十佳歌手”大赛、“心语之星”心理健康知识大赛等多种类型的赛事表演，丰富校园文化生活。</w:t>
      </w:r>
    </w:p>
    <w:p>
      <w:pPr>
        <w:pStyle w:val="5"/>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楷体" w:hAnsi="楷体" w:eastAsia="楷体" w:cs="楷体"/>
          <w:b/>
          <w:bCs/>
          <w:color w:val="000000"/>
          <w:szCs w:val="32"/>
        </w:rPr>
      </w:pPr>
      <w:r>
        <w:rPr>
          <w:rFonts w:hint="eastAsia" w:ascii="楷体" w:hAnsi="楷体" w:eastAsia="楷体" w:cs="楷体"/>
          <w:b/>
          <w:bCs/>
          <w:color w:val="000000"/>
          <w:szCs w:val="32"/>
        </w:rPr>
        <w:t>（十七）集团学校及中职三校工作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59.组织开展2次办学规范性检查，加大集团学校人才培养方案的编制、学籍管理和学生资助工作的检查力度。</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60.加大对各分校的办学指导力度，组织专家到分校开展业务培训5场次。</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61.铜仁市中等职业学校本部招生400人，集团学校招生400人；做好学籍、资助管理等工作；编制2020年铜仁市中等职业学校教育质量年度报告和毕业生就业情况分析报告。</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62.铜仁工业学校招生200人，做好学籍、资助管理等工作；编制2020年铜仁工业学校教育质量年度报告。</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63.铜仁市技工学校招生200人；做好学籍、资助管理等工作；协助做好省级高技能人才培训基地和大师工作室的建设工作。</w:t>
      </w:r>
    </w:p>
    <w:p>
      <w:pPr>
        <w:pStyle w:val="4"/>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color w:val="000000"/>
        </w:rPr>
      </w:pPr>
      <w:r>
        <w:rPr>
          <w:rFonts w:hint="eastAsia"/>
          <w:color w:val="000000"/>
        </w:rPr>
        <w:t>三、力争上级支持，重点推进的几项工作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64.加强疫情防控工作，强化防控体系，完善防控制度，</w:t>
      </w:r>
      <w:r>
        <w:rPr>
          <w:rStyle w:val="7"/>
          <w:rFonts w:hint="eastAsia" w:ascii="仿宋_GB2312" w:cs="仿宋_GB2312"/>
          <w:color w:val="000000"/>
          <w:szCs w:val="32"/>
        </w:rPr>
        <w:t>做好校园集中消毒、疫情防控物资储备工作，坚决阻断疫情向校园蔓延。</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65.推进“双高计划”创建工作。完成建设方案及任务书修订上报工作，加快推进项目建设。</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cs="仿宋_GB2312"/>
          <w:color w:val="000000"/>
          <w:szCs w:val="32"/>
        </w:rPr>
      </w:pPr>
      <w:r>
        <w:rPr>
          <w:rFonts w:hint="eastAsia" w:ascii="仿宋_GB2312" w:hAnsi="仿宋_GB2312" w:cs="仿宋_GB2312"/>
          <w:color w:val="000000"/>
          <w:szCs w:val="32"/>
        </w:rPr>
        <w:t>66.做好贵州省人才培养质量提升工程的验收工作，积极贯彻落实《贵州省职业教育兴黔富民行动计划建设项目实施方案》，加大项目争取力度。</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67.推进落实“省部共建”工作。加强与国家民委及中国职业教育学会少数民族职业教育专业委员会的联络，积极2020年筹办少数民族职业教育与产业发展对话论坛；深化与国家民委直属高校的合作，争取在师资、教学、科研等方面给予帮扶支持；推进高端科研平台建设，做好三大科研基地建设及课题发布招标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68.加快推进智慧校园建设，完成AIC系统二期工程建设，完成校园网出口带宽升级工作。</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69.加快推进铜仁职院（铜仁工业学校）新校区基础设施建设。</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70.做好学院绩效目标考核工作，更加激发办学活力。</w:t>
      </w:r>
    </w:p>
    <w:p>
      <w:pPr>
        <w:pStyle w:val="5"/>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cs="仿宋_GB2312"/>
          <w:color w:val="000000"/>
          <w:szCs w:val="32"/>
        </w:rPr>
      </w:pPr>
      <w:r>
        <w:rPr>
          <w:rFonts w:hint="eastAsia" w:ascii="仿宋_GB2312" w:hAnsi="仿宋_GB2312" w:cs="仿宋_GB2312"/>
          <w:color w:val="000000"/>
          <w:szCs w:val="32"/>
        </w:rPr>
        <w:t>71.扎实做好改革试点项目，着力推进学院全面深化改革工作。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C713595-E97F-441D-A2D6-F54DCE433FF1}"/>
  </w:font>
  <w:font w:name="仿宋_GB2312">
    <w:altName w:val="仿宋"/>
    <w:panose1 w:val="02010609030101010101"/>
    <w:charset w:val="86"/>
    <w:family w:val="modern"/>
    <w:pitch w:val="default"/>
    <w:sig w:usb0="00000000" w:usb1="00000000" w:usb2="00000000" w:usb3="00000000" w:csb0="00040000" w:csb1="00000000"/>
    <w:embedRegular r:id="rId2" w:fontKey="{B1E51E03-6ADE-433C-B6ED-BF8C5BA334E0}"/>
  </w:font>
  <w:font w:name="方正小标宋_GBK">
    <w:panose1 w:val="02000000000000000000"/>
    <w:charset w:val="86"/>
    <w:family w:val="script"/>
    <w:pitch w:val="default"/>
    <w:sig w:usb0="A00002BF" w:usb1="38CF7CFA" w:usb2="00082016" w:usb3="00000000" w:csb0="00040001" w:csb1="00000000"/>
    <w:embedRegular r:id="rId3" w:fontKey="{E91B1136-AA78-4F48-8105-712663B1D063}"/>
  </w:font>
  <w:font w:name="方正小标宋简体">
    <w:panose1 w:val="02000000000000000000"/>
    <w:charset w:val="86"/>
    <w:family w:val="script"/>
    <w:pitch w:val="default"/>
    <w:sig w:usb0="00000001" w:usb1="08000000" w:usb2="00000000" w:usb3="00000000" w:csb0="00040000" w:csb1="00000000"/>
    <w:embedRegular r:id="rId4" w:fontKey="{C8174AF0-01FB-4855-BF1E-5E7A4A324BB6}"/>
  </w:font>
  <w:font w:name="楷体">
    <w:panose1 w:val="02010609060101010101"/>
    <w:charset w:val="86"/>
    <w:family w:val="auto"/>
    <w:pitch w:val="default"/>
    <w:sig w:usb0="800002BF" w:usb1="38CF7CFA" w:usb2="00000016" w:usb3="00000000" w:csb0="00040001" w:csb1="00000000"/>
    <w:embedRegular r:id="rId5" w:fontKey="{CED086BD-37E0-477C-9233-42E25B35A922}"/>
  </w:font>
  <w:font w:name="仿宋">
    <w:panose1 w:val="02010609060101010101"/>
    <w:charset w:val="86"/>
    <w:family w:val="auto"/>
    <w:pitch w:val="default"/>
    <w:sig w:usb0="800002BF" w:usb1="38CF7CFA" w:usb2="00000016" w:usb3="00000000" w:csb0="00040001" w:csb1="00000000"/>
    <w:embedRegular r:id="rId6" w:fontKey="{B08B2D9A-8E0D-43A3-9914-D2C3355953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B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1标题（自）"/>
    <w:qFormat/>
    <w:uiPriority w:val="0"/>
    <w:pPr>
      <w:spacing w:line="560" w:lineRule="exact"/>
      <w:ind w:firstLine="200" w:firstLineChars="200"/>
      <w:outlineLvl w:val="0"/>
    </w:pPr>
    <w:rPr>
      <w:rFonts w:ascii="黑体" w:hAnsi="黑体" w:eastAsia="黑体" w:cs="宋体"/>
      <w:bCs/>
      <w:kern w:val="2"/>
      <w:sz w:val="32"/>
      <w:szCs w:val="32"/>
      <w:lang w:val="en-US" w:eastAsia="zh-CN" w:bidi="ar-SA"/>
    </w:rPr>
  </w:style>
  <w:style w:type="paragraph" w:customStyle="1" w:styleId="5">
    <w:name w:val="正文（自）"/>
    <w:basedOn w:val="6"/>
    <w:qFormat/>
    <w:uiPriority w:val="0"/>
    <w:pPr>
      <w:spacing w:line="560" w:lineRule="exact"/>
      <w:ind w:firstLine="200" w:firstLineChars="200"/>
    </w:pPr>
    <w:rPr>
      <w:rFonts w:eastAsia="仿宋_GB2312"/>
      <w:sz w:val="32"/>
    </w:rPr>
  </w:style>
  <w:style w:type="paragraph" w:customStyle="1" w:styleId="6">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
    <w:name w:val="NormalCharacter"/>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2021-10-29T10:40:29Z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0EE4FB7754C742BEAC8F59C786326FD7</vt:lpwstr>
  </property>
</Properties>
</file>